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48" w:rsidRDefault="005C3FA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Kvartiler</w:t>
      </w:r>
    </w:p>
    <w:p w:rsidR="00515B48" w:rsidRDefault="00515B48">
      <w:pPr>
        <w:jc w:val="center"/>
        <w:rPr>
          <w:b/>
          <w:bCs/>
          <w:sz w:val="40"/>
        </w:rPr>
      </w:pPr>
    </w:p>
    <w:p w:rsidR="00515B48" w:rsidRDefault="003D6FEE">
      <w:r>
        <w:t>Kvartilerna q</w:t>
      </w:r>
      <w:r w:rsidR="00515B48">
        <w:rPr>
          <w:vertAlign w:val="subscript"/>
        </w:rPr>
        <w:t>1</w:t>
      </w:r>
      <w:r>
        <w:t>, q</w:t>
      </w:r>
      <w:r w:rsidR="00515B48">
        <w:rPr>
          <w:vertAlign w:val="subscript"/>
        </w:rPr>
        <w:t>2</w:t>
      </w:r>
      <w:r>
        <w:t xml:space="preserve"> och q</w:t>
      </w:r>
      <w:r w:rsidR="00515B48">
        <w:rPr>
          <w:vertAlign w:val="subscript"/>
        </w:rPr>
        <w:t>3</w:t>
      </w:r>
      <w:r w:rsidR="00515B48">
        <w:t xml:space="preserve"> delar in ett </w:t>
      </w:r>
      <w:r w:rsidRPr="003D6FEE">
        <w:rPr>
          <w:b/>
        </w:rPr>
        <w:t>storleksordnat</w:t>
      </w:r>
      <w:r>
        <w:t xml:space="preserve"> data</w:t>
      </w:r>
      <w:r w:rsidR="00515B48">
        <w:t>material i fyra lika stora delar, som vardera innehåller 25</w:t>
      </w:r>
      <w:r w:rsidR="005C3FA7">
        <w:t xml:space="preserve"> </w:t>
      </w:r>
      <w:r w:rsidR="00515B48">
        <w:t>% av observationerna.</w:t>
      </w:r>
    </w:p>
    <w:p w:rsidR="00515B48" w:rsidRDefault="00515B48"/>
    <w:p w:rsidR="00515B48" w:rsidRDefault="00515B48">
      <w:r>
        <w:t xml:space="preserve">För ett </w:t>
      </w:r>
      <w:r>
        <w:rPr>
          <w:b/>
          <w:bCs/>
        </w:rPr>
        <w:t>ej klassindelat</w:t>
      </w:r>
      <w:r w:rsidR="003D6FEE">
        <w:t xml:space="preserve"> material är q</w:t>
      </w:r>
      <w:r>
        <w:rPr>
          <w:vertAlign w:val="subscript"/>
        </w:rPr>
        <w:t>2</w:t>
      </w:r>
      <w:r w:rsidR="003D6FEE">
        <w:t xml:space="preserve"> helt enkelt medianen, q</w:t>
      </w:r>
      <w:r>
        <w:rPr>
          <w:vertAlign w:val="subscript"/>
        </w:rPr>
        <w:t xml:space="preserve">1 </w:t>
      </w:r>
      <w:r w:rsidR="003D6FEE">
        <w:t>medianen av undre hälften av observationerna och q</w:t>
      </w:r>
      <w:r>
        <w:rPr>
          <w:vertAlign w:val="subscript"/>
        </w:rPr>
        <w:t>3</w:t>
      </w:r>
      <w:r>
        <w:t xml:space="preserve"> medianen av</w:t>
      </w:r>
      <w:r w:rsidR="003D6FEE">
        <w:t xml:space="preserve"> övre hälften av observationerna</w:t>
      </w:r>
      <w:r>
        <w:t>. Om vi har ett udda anta</w:t>
      </w:r>
      <w:r w:rsidR="003D6FEE">
        <w:t>l observationer ingår medianen q</w:t>
      </w:r>
      <w:r>
        <w:rPr>
          <w:vertAlign w:val="subscript"/>
        </w:rPr>
        <w:t>2</w:t>
      </w:r>
      <w:r w:rsidR="003D6FEE">
        <w:t xml:space="preserve"> både i undre och övre hälften av observationerna.</w:t>
      </w:r>
    </w:p>
    <w:p w:rsidR="00515B48" w:rsidRDefault="00515B48"/>
    <w:p w:rsidR="00E802BA" w:rsidRDefault="00515B48">
      <w:r>
        <w:t xml:space="preserve">För ett </w:t>
      </w:r>
      <w:r>
        <w:rPr>
          <w:b/>
          <w:bCs/>
        </w:rPr>
        <w:t>klassindelat</w:t>
      </w:r>
      <w:r>
        <w:t xml:space="preserve"> material </w:t>
      </w:r>
      <w:r w:rsidR="003D6FEE">
        <w:t>beräknar man först en kumulativ frekvenstabell</w:t>
      </w:r>
      <w:r w:rsidR="00E802BA">
        <w:t>. D.v.s</w:t>
      </w:r>
      <w:r w:rsidR="00AF5538">
        <w:t>.</w:t>
      </w:r>
      <w:r w:rsidR="00E802BA">
        <w:t xml:space="preserve"> istället för att ange andelen av observationerna i en viss klass så anger man andelen av observationerna i klassen plus alla klasser under.</w:t>
      </w:r>
    </w:p>
    <w:p w:rsidR="00E802BA" w:rsidRDefault="00E802BA"/>
    <w:p w:rsidR="00E802BA" w:rsidRPr="00E6536E" w:rsidRDefault="00E802BA">
      <w:pPr>
        <w:rPr>
          <w:color w:val="0070C0"/>
        </w:rPr>
      </w:pPr>
      <w:r w:rsidRPr="00E6536E">
        <w:rPr>
          <w:b/>
          <w:color w:val="0070C0"/>
        </w:rPr>
        <w:t xml:space="preserve">Exempel: </w:t>
      </w:r>
      <w:r w:rsidRPr="00E6536E">
        <w:rPr>
          <w:color w:val="0070C0"/>
        </w:rPr>
        <w:t>Följande är exempel 7 från boken. Data i tabell 2.11 är omräknade till relativa frekvenser</w:t>
      </w:r>
      <w:r w:rsidR="00E6536E" w:rsidRPr="00E6536E">
        <w:rPr>
          <w:color w:val="0070C0"/>
        </w:rPr>
        <w:t>.</w:t>
      </w:r>
    </w:p>
    <w:p w:rsidR="00E6536E" w:rsidRPr="00E6536E" w:rsidRDefault="00E6536E">
      <w:pPr>
        <w:rPr>
          <w:color w:val="0070C0"/>
        </w:rPr>
      </w:pPr>
    </w:p>
    <w:tbl>
      <w:tblPr>
        <w:tblW w:w="0" w:type="auto"/>
        <w:tblLook w:val="04A0"/>
      </w:tblPr>
      <w:tblGrid>
        <w:gridCol w:w="1526"/>
        <w:gridCol w:w="2377"/>
        <w:gridCol w:w="1952"/>
      </w:tblGrid>
      <w:tr w:rsidR="00E802BA" w:rsidRPr="00767E84" w:rsidTr="00767E84">
        <w:trPr>
          <w:trHeight w:val="275"/>
        </w:trPr>
        <w:tc>
          <w:tcPr>
            <w:tcW w:w="1526" w:type="dxa"/>
            <w:tcBorders>
              <w:bottom w:val="single" w:sz="4" w:space="0" w:color="auto"/>
            </w:tcBorders>
          </w:tcPr>
          <w:p w:rsidR="00E802BA" w:rsidRPr="00767E84" w:rsidRDefault="00E802BA">
            <w:pPr>
              <w:rPr>
                <w:b/>
                <w:color w:val="0070C0"/>
              </w:rPr>
            </w:pPr>
            <w:r w:rsidRPr="00767E84">
              <w:rPr>
                <w:b/>
                <w:color w:val="0070C0"/>
              </w:rPr>
              <w:t>Ålder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E802BA" w:rsidRPr="00767E84" w:rsidRDefault="00E802BA">
            <w:pPr>
              <w:rPr>
                <w:b/>
                <w:color w:val="0070C0"/>
              </w:rPr>
            </w:pPr>
            <w:r w:rsidRPr="00767E84">
              <w:rPr>
                <w:b/>
                <w:color w:val="0070C0"/>
              </w:rPr>
              <w:t>Anställda, relativ frekvens, %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802BA" w:rsidRPr="00767E84" w:rsidRDefault="00E802BA">
            <w:pPr>
              <w:rPr>
                <w:b/>
                <w:color w:val="0070C0"/>
              </w:rPr>
            </w:pPr>
            <w:r w:rsidRPr="00767E84">
              <w:rPr>
                <w:b/>
                <w:color w:val="0070C0"/>
              </w:rPr>
              <w:t>Kumulerad %</w:t>
            </w:r>
          </w:p>
        </w:tc>
      </w:tr>
      <w:tr w:rsidR="00E802BA" w:rsidRPr="00767E84" w:rsidTr="00767E84">
        <w:trPr>
          <w:trHeight w:val="275"/>
        </w:trPr>
        <w:tc>
          <w:tcPr>
            <w:tcW w:w="1526" w:type="dxa"/>
            <w:tcBorders>
              <w:top w:val="single" w:sz="4" w:space="0" w:color="auto"/>
            </w:tcBorders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-24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3</w:t>
            </w:r>
          </w:p>
        </w:tc>
      </w:tr>
      <w:tr w:rsidR="00E802BA" w:rsidRPr="00767E84" w:rsidTr="00767E84">
        <w:trPr>
          <w:trHeight w:val="275"/>
        </w:trPr>
        <w:tc>
          <w:tcPr>
            <w:tcW w:w="1526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25-29</w:t>
            </w:r>
          </w:p>
        </w:tc>
        <w:tc>
          <w:tcPr>
            <w:tcW w:w="2377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13</w:t>
            </w:r>
          </w:p>
        </w:tc>
        <w:tc>
          <w:tcPr>
            <w:tcW w:w="1952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3+13=16</w:t>
            </w:r>
          </w:p>
        </w:tc>
      </w:tr>
      <w:tr w:rsidR="00E802BA" w:rsidRPr="00767E84" w:rsidTr="00767E84">
        <w:trPr>
          <w:trHeight w:val="290"/>
        </w:trPr>
        <w:tc>
          <w:tcPr>
            <w:tcW w:w="1526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30-34</w:t>
            </w:r>
          </w:p>
        </w:tc>
        <w:tc>
          <w:tcPr>
            <w:tcW w:w="2377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29</w:t>
            </w:r>
          </w:p>
        </w:tc>
        <w:tc>
          <w:tcPr>
            <w:tcW w:w="1952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16+29=45</w:t>
            </w:r>
          </w:p>
        </w:tc>
      </w:tr>
      <w:tr w:rsidR="00E802BA" w:rsidRPr="00767E84" w:rsidTr="00767E84">
        <w:trPr>
          <w:trHeight w:val="275"/>
        </w:trPr>
        <w:tc>
          <w:tcPr>
            <w:tcW w:w="1526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35-39</w:t>
            </w:r>
          </w:p>
        </w:tc>
        <w:tc>
          <w:tcPr>
            <w:tcW w:w="2377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32</w:t>
            </w:r>
          </w:p>
        </w:tc>
        <w:tc>
          <w:tcPr>
            <w:tcW w:w="1952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77</w:t>
            </w:r>
          </w:p>
        </w:tc>
      </w:tr>
      <w:tr w:rsidR="00E802BA" w:rsidRPr="00767E84" w:rsidTr="00767E84">
        <w:trPr>
          <w:trHeight w:val="275"/>
        </w:trPr>
        <w:tc>
          <w:tcPr>
            <w:tcW w:w="1526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40-44</w:t>
            </w:r>
          </w:p>
        </w:tc>
        <w:tc>
          <w:tcPr>
            <w:tcW w:w="2377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16</w:t>
            </w:r>
          </w:p>
        </w:tc>
        <w:tc>
          <w:tcPr>
            <w:tcW w:w="1952" w:type="dxa"/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93</w:t>
            </w:r>
          </w:p>
        </w:tc>
      </w:tr>
      <w:tr w:rsidR="00E802BA" w:rsidRPr="00767E84" w:rsidTr="00767E84">
        <w:trPr>
          <w:trHeight w:val="290"/>
        </w:trPr>
        <w:tc>
          <w:tcPr>
            <w:tcW w:w="1526" w:type="dxa"/>
            <w:tcBorders>
              <w:bottom w:val="single" w:sz="4" w:space="0" w:color="auto"/>
            </w:tcBorders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45-49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7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100</w:t>
            </w:r>
          </w:p>
        </w:tc>
      </w:tr>
      <w:tr w:rsidR="00E802BA" w:rsidRPr="00767E84" w:rsidTr="00767E84">
        <w:trPr>
          <w:trHeight w:val="290"/>
        </w:trPr>
        <w:tc>
          <w:tcPr>
            <w:tcW w:w="1526" w:type="dxa"/>
            <w:tcBorders>
              <w:top w:val="single" w:sz="4" w:space="0" w:color="auto"/>
            </w:tcBorders>
          </w:tcPr>
          <w:p w:rsidR="00E802BA" w:rsidRPr="00767E84" w:rsidRDefault="00E802BA">
            <w:pPr>
              <w:rPr>
                <w:b/>
                <w:color w:val="0070C0"/>
              </w:rPr>
            </w:pPr>
            <w:r w:rsidRPr="00767E84">
              <w:rPr>
                <w:b/>
                <w:color w:val="0070C0"/>
              </w:rPr>
              <w:t>Totalt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E802BA" w:rsidRPr="00767E84" w:rsidRDefault="00E802BA">
            <w:pPr>
              <w:rPr>
                <w:color w:val="0070C0"/>
              </w:rPr>
            </w:pPr>
            <w:r w:rsidRPr="00767E84">
              <w:rPr>
                <w:color w:val="0070C0"/>
              </w:rPr>
              <w:t>100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802BA" w:rsidRPr="00767E84" w:rsidRDefault="00E802BA">
            <w:pPr>
              <w:rPr>
                <w:color w:val="0070C0"/>
              </w:rPr>
            </w:pPr>
          </w:p>
        </w:tc>
      </w:tr>
    </w:tbl>
    <w:p w:rsidR="00E802BA" w:rsidRPr="00E6536E" w:rsidRDefault="00E802BA">
      <w:pPr>
        <w:rPr>
          <w:color w:val="0070C0"/>
        </w:rPr>
      </w:pPr>
    </w:p>
    <w:p w:rsidR="00E802BA" w:rsidRDefault="00E802BA"/>
    <w:p w:rsidR="00515B48" w:rsidRDefault="00E6536E">
      <w:r>
        <w:t xml:space="preserve">För att beräkna en kvartil i det klassindelade materialet </w:t>
      </w:r>
      <w:r w:rsidR="00515B48">
        <w:t>tar man först reda på i vilken klass kvartilen ligger och använder följande formel:</w:t>
      </w:r>
    </w:p>
    <w:p w:rsidR="00515B48" w:rsidRDefault="00515B48"/>
    <w:p w:rsidR="00515B48" w:rsidRPr="005C3FA7" w:rsidRDefault="00515B48">
      <w:r>
        <w:t xml:space="preserve">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undre klassgräns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i∙25- </m:t>
            </m:r>
            <m:r>
              <m:rPr>
                <m:nor/>
              </m:rPr>
              <w:rPr>
                <w:rFonts w:ascii="Cambria Math" w:hAnsi="Cambria Math"/>
              </w:rPr>
              <m:t>kumulerad % i klassen under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% i klassen</m:t>
            </m:r>
          </m:den>
        </m:f>
        <m:r>
          <w:rPr>
            <w:rFonts w:ascii="Cambria Math" w:hAnsi="Cambria Math"/>
          </w:rPr>
          <m:t>∙</m:t>
        </m:r>
        <m:r>
          <m:rPr>
            <m:nor/>
          </m:rPr>
          <w:rPr>
            <w:rFonts w:ascii="Cambria Math" w:hAnsi="Cambria Math"/>
          </w:rPr>
          <m:t>klassbredd</m:t>
        </m:r>
        <m:r>
          <m:rPr>
            <m:nor/>
          </m:rPr>
          <w:rPr>
            <w:rFonts w:ascii="Cambria Math" w:hAnsi="Cambria Math"/>
          </w:rPr>
          <m:t>.</m:t>
        </m:r>
      </m:oMath>
    </w:p>
    <w:p w:rsidR="006414D3" w:rsidRPr="006414D3" w:rsidRDefault="006414D3"/>
    <w:p w:rsidR="006414D3" w:rsidRDefault="00515B48" w:rsidP="006414D3">
      <w:pPr>
        <w:spacing w:before="120"/>
        <w:rPr>
          <w:color w:val="0070C0"/>
        </w:rPr>
      </w:pPr>
      <w:r w:rsidRPr="00E6536E">
        <w:rPr>
          <w:b/>
          <w:color w:val="0070C0"/>
        </w:rPr>
        <w:t>Exempel:</w:t>
      </w:r>
      <w:r w:rsidRPr="00E6536E">
        <w:rPr>
          <w:color w:val="0070C0"/>
        </w:rPr>
        <w:t xml:space="preserve"> Vi söker </w:t>
      </w:r>
      <w:r w:rsidR="00E6536E">
        <w:rPr>
          <w:color w:val="0070C0"/>
        </w:rPr>
        <w:t>q</w:t>
      </w:r>
      <w:r w:rsidRPr="00E6536E">
        <w:rPr>
          <w:color w:val="0070C0"/>
          <w:vertAlign w:val="subscript"/>
        </w:rPr>
        <w:t>3</w:t>
      </w:r>
      <w:r w:rsidRPr="00E6536E">
        <w:rPr>
          <w:color w:val="0070C0"/>
        </w:rPr>
        <w:t xml:space="preserve"> </w:t>
      </w:r>
      <w:r w:rsidR="00E6536E">
        <w:rPr>
          <w:color w:val="0070C0"/>
        </w:rPr>
        <w:t>i exemplet ovan. Vi ser om vi tittar på kumulerad % i tabellen att q</w:t>
      </w:r>
      <w:r w:rsidR="00E6536E" w:rsidRPr="00E6536E">
        <w:rPr>
          <w:color w:val="0070C0"/>
          <w:vertAlign w:val="subscript"/>
        </w:rPr>
        <w:t>3</w:t>
      </w:r>
      <w:r w:rsidR="00E6536E">
        <w:rPr>
          <w:color w:val="0070C0"/>
          <w:vertAlign w:val="subscript"/>
        </w:rPr>
        <w:t xml:space="preserve"> </w:t>
      </w:r>
      <w:r w:rsidR="00E6536E">
        <w:rPr>
          <w:color w:val="0070C0"/>
        </w:rPr>
        <w:t>måste ligga i klassen 34-39 år eftersom 75</w:t>
      </w:r>
      <w:r w:rsidR="00AF5538">
        <w:rPr>
          <w:color w:val="0070C0"/>
        </w:rPr>
        <w:t xml:space="preserve"> </w:t>
      </w:r>
      <w:r w:rsidR="00E6536E">
        <w:rPr>
          <w:color w:val="0070C0"/>
        </w:rPr>
        <w:t>% av data ska vara under q</w:t>
      </w:r>
      <w:r w:rsidR="00E6536E" w:rsidRPr="00E6536E">
        <w:rPr>
          <w:color w:val="0070C0"/>
          <w:vertAlign w:val="subscript"/>
        </w:rPr>
        <w:t>3</w:t>
      </w:r>
      <w:r w:rsidR="00E6536E">
        <w:rPr>
          <w:color w:val="0070C0"/>
        </w:rPr>
        <w:t>. Undre klassgräns är 34,5. Klassbredden är 39,5-34,5=5. Kumul</w:t>
      </w:r>
      <w:r w:rsidR="005C3FA7">
        <w:rPr>
          <w:color w:val="0070C0"/>
        </w:rPr>
        <w:t>erad % i klassen under</w:t>
      </w:r>
      <w:r w:rsidR="00674AD9">
        <w:rPr>
          <w:color w:val="0070C0"/>
        </w:rPr>
        <w:t xml:space="preserve"> är </w:t>
      </w:r>
      <w:r w:rsidR="00E6536E">
        <w:rPr>
          <w:color w:val="0070C0"/>
        </w:rPr>
        <w:t>kumulerad % i klassen 30-3</w:t>
      </w:r>
      <w:r w:rsidR="00674AD9">
        <w:rPr>
          <w:color w:val="0070C0"/>
        </w:rPr>
        <w:t>4 år, alltså 45</w:t>
      </w:r>
      <w:r w:rsidR="00AF5538">
        <w:rPr>
          <w:color w:val="0070C0"/>
        </w:rPr>
        <w:t xml:space="preserve"> </w:t>
      </w:r>
      <w:r w:rsidR="00674AD9">
        <w:rPr>
          <w:color w:val="0070C0"/>
        </w:rPr>
        <w:t>%. I klassen där q</w:t>
      </w:r>
      <w:r w:rsidR="00674AD9" w:rsidRPr="00E6536E">
        <w:rPr>
          <w:color w:val="0070C0"/>
          <w:vertAlign w:val="subscript"/>
        </w:rPr>
        <w:t>3</w:t>
      </w:r>
      <w:r w:rsidR="00674AD9">
        <w:rPr>
          <w:color w:val="0070C0"/>
        </w:rPr>
        <w:t xml:space="preserve"> ingår finns 32</w:t>
      </w:r>
      <w:r w:rsidR="00AF5538">
        <w:rPr>
          <w:color w:val="0070C0"/>
        </w:rPr>
        <w:t xml:space="preserve"> </w:t>
      </w:r>
      <w:r w:rsidR="00674AD9">
        <w:rPr>
          <w:color w:val="0070C0"/>
        </w:rPr>
        <w:t>% av observationerna. Formeln ger då:</w:t>
      </w:r>
    </w:p>
    <w:p w:rsidR="00515B48" w:rsidRPr="00E6536E" w:rsidRDefault="00515B48" w:rsidP="006414D3">
      <w:pPr>
        <w:spacing w:before="120"/>
        <w:rPr>
          <w:color w:val="0070C0"/>
        </w:rPr>
      </w:pPr>
      <w:r w:rsidRPr="00E6536E">
        <w:rPr>
          <w:color w:val="0070C0"/>
        </w:rPr>
        <w:t xml:space="preserve">                                       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q</m:t>
            </m:r>
          </m:e>
          <m:sub>
            <m:r>
              <w:rPr>
                <w:rFonts w:ascii="Cambria Math" w:hAnsi="Cambria Math"/>
                <w:color w:val="0070C0"/>
              </w:rPr>
              <m:t>3</m:t>
            </m:r>
          </m:sub>
        </m:sSub>
        <m:r>
          <w:rPr>
            <w:rFonts w:ascii="Cambria Math" w:hAnsi="Cambria Math"/>
            <w:color w:val="0070C0"/>
          </w:rPr>
          <m:t>=34,5+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3∙25-45</m:t>
            </m:r>
          </m:num>
          <m:den>
            <m:r>
              <w:rPr>
                <w:rFonts w:ascii="Cambria Math" w:hAnsi="Cambria Math"/>
                <w:color w:val="0070C0"/>
              </w:rPr>
              <m:t>32</m:t>
            </m:r>
          </m:den>
        </m:f>
        <m:r>
          <w:rPr>
            <w:rFonts w:ascii="Cambria Math" w:hAnsi="Cambria Math"/>
            <w:color w:val="0070C0"/>
          </w:rPr>
          <m:t>∙5≈39,2</m:t>
        </m:r>
      </m:oMath>
    </w:p>
    <w:p w:rsidR="00515B48" w:rsidRPr="00E6536E" w:rsidRDefault="00AC668D">
      <w:pPr>
        <w:rPr>
          <w:color w:val="0070C0"/>
        </w:rPr>
      </w:pPr>
      <w:r>
        <w:rPr>
          <w:color w:val="0070C0"/>
        </w:rPr>
        <w:t xml:space="preserve">Vad gör </w:t>
      </w:r>
      <w:r w:rsidR="00674AD9">
        <w:rPr>
          <w:color w:val="0070C0"/>
        </w:rPr>
        <w:t xml:space="preserve">formeln egentligen? Först har vi ju tagit reda på </w:t>
      </w:r>
      <w:r w:rsidR="005C3FA7">
        <w:rPr>
          <w:color w:val="0070C0"/>
        </w:rPr>
        <w:t xml:space="preserve">att </w:t>
      </w:r>
      <w:r w:rsidR="00674AD9">
        <w:rPr>
          <w:color w:val="0070C0"/>
        </w:rPr>
        <w:t>q</w:t>
      </w:r>
      <w:r w:rsidR="00674AD9" w:rsidRPr="00E6536E">
        <w:rPr>
          <w:color w:val="0070C0"/>
          <w:vertAlign w:val="subscript"/>
        </w:rPr>
        <w:t>3</w:t>
      </w:r>
      <w:r w:rsidR="00674AD9">
        <w:rPr>
          <w:color w:val="0070C0"/>
        </w:rPr>
        <w:t xml:space="preserve"> är i klassen 34-39 år d.v.s. ligger någonstans mellan 34,5 och 39,5. Vi vet inte var i intervallet. Man kan dock gissa att q</w:t>
      </w:r>
      <w:r w:rsidR="00674AD9" w:rsidRPr="00E6536E">
        <w:rPr>
          <w:color w:val="0070C0"/>
          <w:vertAlign w:val="subscript"/>
        </w:rPr>
        <w:t>3</w:t>
      </w:r>
      <w:r w:rsidR="00674AD9">
        <w:rPr>
          <w:color w:val="0070C0"/>
        </w:rPr>
        <w:t xml:space="preserve"> borde ligga ganska nära 39,5</w:t>
      </w:r>
      <w:r w:rsidR="00AF5538">
        <w:rPr>
          <w:color w:val="0070C0"/>
        </w:rPr>
        <w:t xml:space="preserve"> </w:t>
      </w:r>
      <w:r w:rsidR="005016C4">
        <w:rPr>
          <w:color w:val="0070C0"/>
        </w:rPr>
        <w:t>(v</w:t>
      </w:r>
      <w:r w:rsidR="00674AD9">
        <w:rPr>
          <w:color w:val="0070C0"/>
        </w:rPr>
        <w:t>arför?</w:t>
      </w:r>
      <w:r w:rsidR="005016C4">
        <w:rPr>
          <w:rStyle w:val="Fotnotsreferens"/>
          <w:color w:val="0070C0"/>
        </w:rPr>
        <w:footnoteReference w:id="2"/>
      </w:r>
      <w:r w:rsidR="005016C4">
        <w:rPr>
          <w:color w:val="0070C0"/>
        </w:rPr>
        <w:t>)</w:t>
      </w:r>
      <w:r w:rsidR="00674AD9">
        <w:rPr>
          <w:color w:val="0070C0"/>
        </w:rPr>
        <w:t xml:space="preserve">. </w:t>
      </w:r>
      <w:r w:rsidR="005016C4">
        <w:rPr>
          <w:color w:val="0070C0"/>
        </w:rPr>
        <w:t xml:space="preserve">Formeln gör </w:t>
      </w:r>
      <w:r w:rsidR="00515B48" w:rsidRPr="00E6536E">
        <w:rPr>
          <w:color w:val="0070C0"/>
        </w:rPr>
        <w:t>en interpolation</w:t>
      </w:r>
      <w:r w:rsidR="005016C4">
        <w:rPr>
          <w:color w:val="0070C0"/>
        </w:rPr>
        <w:t>. Hur kan man se i följande figur:</w:t>
      </w:r>
      <w:r w:rsidR="005016C4">
        <w:rPr>
          <w:color w:val="0070C0"/>
        </w:rPr>
        <w:tab/>
      </w:r>
      <w:r w:rsidR="005016C4">
        <w:rPr>
          <w:color w:val="0070C0"/>
        </w:rPr>
        <w:tab/>
      </w:r>
      <w:r w:rsidR="005016C4">
        <w:rPr>
          <w:color w:val="0070C0"/>
        </w:rPr>
        <w:tab/>
      </w:r>
      <w:r w:rsidR="005016C4">
        <w:rPr>
          <w:color w:val="0070C0"/>
        </w:rPr>
        <w:tab/>
      </w:r>
      <w:r w:rsidR="005016C4">
        <w:rPr>
          <w:color w:val="0070C0"/>
        </w:rPr>
        <w:tab/>
      </w:r>
      <w:r w:rsidR="005016C4">
        <w:rPr>
          <w:color w:val="0070C0"/>
        </w:rPr>
        <w:tab/>
        <w:t xml:space="preserve">      </w:t>
      </w:r>
    </w:p>
    <w:p w:rsidR="00363DCC" w:rsidRDefault="006414D3" w:rsidP="005016C4">
      <w:pPr>
        <w:rPr>
          <w:color w:val="0070C0"/>
        </w:rPr>
      </w:pPr>
      <w:r>
        <w:rPr>
          <w:noProof/>
          <w:color w:val="0070C0"/>
          <w:lang w:eastAsia="sv-SE"/>
        </w:rPr>
        <w:lastRenderedPageBreak/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8" style="position:absolute;margin-left:24.05pt;margin-top:61.05pt;width:41.05pt;height:12.75pt;z-index:251680768" o:connectortype="curved" o:regroupid="2" adj="10787,-223454,-49935">
            <v:stroke endarrow="block"/>
          </v:shape>
        </w:pict>
      </w:r>
      <w:r>
        <w:rPr>
          <w:noProof/>
          <w:color w:val="0070C0"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69.1pt;margin-top:73.8pt;width:250.35pt;height:.05pt;flip:x;z-index:251678720" o:connectortype="straight" o:regroupid="2" strokeweight="2.25pt">
            <v:stroke dashstyle="1 1" endcap="round"/>
          </v:shape>
        </w:pict>
      </w:r>
      <w:r>
        <w:rPr>
          <w:noProof/>
          <w:color w:val="0070C0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08pt;margin-top:223.9pt;width:28.3pt;height:25.55pt;z-index:251681792" o:regroupid="2" stroked="f">
            <v:textbox>
              <w:txbxContent>
                <w:p w:rsidR="00961721" w:rsidRDefault="00961721">
                  <w:r w:rsidRPr="005016C4">
                    <w:t>q</w:t>
                  </w:r>
                  <w:r w:rsidRPr="005016C4"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color w:val="0070C0"/>
          <w:lang w:eastAsia="sv-SE"/>
        </w:rPr>
        <w:pict>
          <v:shape id="_x0000_s1037" type="#_x0000_t38" style="position:absolute;margin-left:308.7pt;margin-top:209.75pt;width:24.9pt;height:3.4pt;rotation:270;flip:x;z-index:251682816" o:connectortype="curved" o:regroupid="2" adj="10800,1876659,-330983">
            <v:stroke endarrow="block"/>
          </v:shape>
        </w:pict>
      </w:r>
      <w:r>
        <w:rPr>
          <w:noProof/>
          <w:color w:val="0070C0"/>
          <w:lang w:eastAsia="sv-SE"/>
        </w:rPr>
        <w:pict>
          <v:shape id="_x0000_s1033" type="#_x0000_t32" style="position:absolute;margin-left:319.5pt;margin-top:73.8pt;width:0;height:125.2pt;z-index:251679744" o:connectortype="straight" o:regroupid="2" strokeweight="2.25pt">
            <v:stroke dashstyle="1 1" endcap="round"/>
          </v:shape>
        </w:pict>
      </w:r>
      <w:r>
        <w:rPr>
          <w:noProof/>
          <w:color w:val="0070C0"/>
          <w:lang w:eastAsia="sv-SE"/>
        </w:rPr>
        <w:pict>
          <v:shape id="_x0000_s1034" type="#_x0000_t202" style="position:absolute;margin-left:-3.6pt;margin-top:53.6pt;width:34.35pt;height:16.8pt;z-index:251676672" o:regroupid="1" stroked="f">
            <v:textbox>
              <w:txbxContent>
                <w:p w:rsidR="00966C88" w:rsidRPr="00966C88" w:rsidRDefault="0096172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  <w:r w:rsidR="00966C88" w:rsidRPr="00966C88">
                    <w:rPr>
                      <w:sz w:val="18"/>
                      <w:szCs w:val="18"/>
                    </w:rPr>
                    <w:t xml:space="preserve"> %</w:t>
                  </w:r>
                </w:p>
                <w:p w:rsidR="00966C88" w:rsidRDefault="00966C88"/>
              </w:txbxContent>
            </v:textbox>
          </v:shape>
        </w:pict>
      </w:r>
      <w:r w:rsidR="00515B48" w:rsidRPr="00E6536E">
        <w:rPr>
          <w:color w:val="0070C0"/>
        </w:rPr>
        <w:tab/>
      </w:r>
      <w:r w:rsidR="00A15222">
        <w:rPr>
          <w:noProof/>
          <w:color w:val="0070C0"/>
          <w:lang w:eastAsia="sv-SE"/>
        </w:rPr>
        <w:drawing>
          <wp:inline distT="0" distB="0" distL="0" distR="0">
            <wp:extent cx="6144260" cy="3221990"/>
            <wp:effectExtent l="0" t="0" r="0" b="0"/>
            <wp:docPr id="79" name="Objekt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63DCC" w:rsidRPr="00363DCC">
        <w:rPr>
          <w:color w:val="0070C0"/>
        </w:rPr>
        <w:t xml:space="preserve"> </w:t>
      </w:r>
      <w:r w:rsidR="00363DCC">
        <w:rPr>
          <w:color w:val="0070C0"/>
        </w:rPr>
        <w:t xml:space="preserve">I grafen är kumulerad % plottad mot övre klassgräns. Räta linjer är dragna mellan punkterna vilket svarar mot att anta att data är jämt fördelade i varje klass. Vi ska alltså hitta vilken ålder som motsvarar 75 % på den räta linjen. </w:t>
      </w:r>
    </w:p>
    <w:p w:rsidR="00363DCC" w:rsidRDefault="00363DCC" w:rsidP="005016C4">
      <w:pPr>
        <w:rPr>
          <w:color w:val="0070C0"/>
        </w:rPr>
      </w:pPr>
    </w:p>
    <w:p w:rsidR="00363DCC" w:rsidRDefault="00961721" w:rsidP="005016C4">
      <w:pPr>
        <w:rPr>
          <w:color w:val="0070C0"/>
        </w:rPr>
      </w:pPr>
      <w:r>
        <w:rPr>
          <w:color w:val="0070C0"/>
        </w:rPr>
        <w:t xml:space="preserve">Den som är intresserad av ett sätt som formeln </w:t>
      </w:r>
      <w:r w:rsidR="00363DCC">
        <w:rPr>
          <w:color w:val="0070C0"/>
        </w:rPr>
        <w:t>kan härledas på kan läsa resten, annars går det utmärkt att hoppa över! Nedan är en uppförstoring av en del av grafen:</w:t>
      </w:r>
    </w:p>
    <w:p w:rsidR="00EF0275" w:rsidRDefault="00EF0275" w:rsidP="005016C4">
      <w:pPr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</w:p>
    <w:p w:rsidR="00275B0A" w:rsidRDefault="005C3FA7" w:rsidP="00275B0A">
      <w:pPr>
        <w:spacing w:before="120" w:after="120"/>
        <w:rPr>
          <w:color w:val="0070C0"/>
        </w:rPr>
      </w:pPr>
      <w:r>
        <w:rPr>
          <w:b/>
          <w:noProof/>
          <w:color w:val="595959"/>
          <w:lang w:eastAsia="sv-SE"/>
        </w:rPr>
        <w:pict>
          <v:shape id="_x0000_s1052" type="#_x0000_t32" style="position:absolute;margin-left:325.5pt;margin-top:62.3pt;width:.7pt;height:55.5pt;z-index:251693056" o:connectortype="straight" o:regroupid="5">
            <v:stroke startarrow="block" endarrow="block"/>
          </v:shape>
        </w:pict>
      </w:r>
      <w:r>
        <w:rPr>
          <w:b/>
          <w:noProof/>
          <w:color w:val="595959"/>
          <w:lang w:eastAsia="sv-SE"/>
        </w:rPr>
        <w:pict>
          <v:shape id="_x0000_s1051" type="#_x0000_t32" style="position:absolute;margin-left:352.3pt;margin-top:53.3pt;width:0;height:64.5pt;z-index:251692032" o:connectortype="straight" o:regroupid="5">
            <v:stroke startarrow="block" endarrow="block"/>
          </v:shape>
        </w:pict>
      </w:r>
      <w:r>
        <w:rPr>
          <w:b/>
          <w:noProof/>
          <w:color w:val="595959"/>
          <w:lang w:eastAsia="sv-SE"/>
        </w:rPr>
        <w:pict>
          <v:shape id="_x0000_s1050" type="#_x0000_t32" style="position:absolute;margin-left:142.4pt;margin-top:121.55pt;width:173.65pt;height:.65pt;flip:y;z-index:251691008" o:connectortype="straight" o:regroupid="5">
            <v:stroke startarrow="block" endarrow="block"/>
          </v:shape>
        </w:pict>
      </w:r>
      <w:r>
        <w:rPr>
          <w:b/>
          <w:noProof/>
          <w:color w:val="595959"/>
          <w:lang w:eastAsia="sv-SE"/>
        </w:rPr>
        <w:pict>
          <v:shape id="_x0000_s1049" type="#_x0000_t32" style="position:absolute;margin-left:142.4pt;margin-top:137.65pt;width:201.9pt;height:0;z-index:251689984" o:connectortype="straight" o:regroupid="5">
            <v:stroke startarrow="block" endarrow="block"/>
          </v:shape>
        </w:pict>
      </w:r>
      <w:r>
        <w:rPr>
          <w:b/>
          <w:noProof/>
          <w:color w:val="595959"/>
          <w:lang w:eastAsia="sv-SE"/>
        </w:rPr>
        <w:pict>
          <v:shape id="_x0000_s1048" type="#_x0000_t32" style="position:absolute;margin-left:316.1pt;margin-top:62pt;width:.05pt;height:55.5pt;z-index:251688960" o:connectortype="straight" o:regroupid="5" strokeweight="1.5pt">
            <v:stroke dashstyle="1 1"/>
          </v:shape>
        </w:pict>
      </w:r>
      <w:r>
        <w:rPr>
          <w:b/>
          <w:noProof/>
          <w:color w:val="595959"/>
          <w:lang w:eastAsia="sv-SE"/>
        </w:rPr>
        <w:pict>
          <v:shape id="_x0000_s1038" type="#_x0000_t32" style="position:absolute;margin-left:142.4pt;margin-top:117.45pt;width:198.55pt;height:.05pt;z-index:251687936" o:connectortype="straight" o:regroupid="5" strokeweight="1.5pt">
            <v:stroke dashstyle="1 1" endcap="round"/>
          </v:shape>
        </w:pict>
      </w:r>
      <w:r>
        <w:rPr>
          <w:b/>
          <w:noProof/>
          <w:color w:val="595959"/>
          <w:lang w:eastAsia="sv-SE"/>
        </w:rPr>
        <w:pict>
          <v:group id="_x0000_s1059" style="position:absolute;margin-left:69.1pt;margin-top:23pt;width:346.85pt;height:131.5pt;z-index:251665407" coordorigin="2799,9025" coordsize="6937,2630" o:regroupid="4">
            <v:shape id="_x0000_s1053" type="#_x0000_t202" style="position:absolute;left:8463;top:10106;width:500;height:404" stroked="f">
              <v:textbox>
                <w:txbxContent>
                  <w:p w:rsidR="00EF0275" w:rsidRPr="00EF0275" w:rsidRDefault="00EF0275">
                    <w:pPr>
                      <w:rPr>
                        <w:vertAlign w:val="subscript"/>
                      </w:rPr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6" type="#_x0000_t202" style="position:absolute;left:6029;top:11251;width:500;height:404" stroked="f">
              <v:textbox>
                <w:txbxContent>
                  <w:p w:rsidR="006C6650" w:rsidRPr="00EF0275" w:rsidRDefault="006C6650" w:rsidP="006C6650">
                    <w:pPr>
                      <w:rPr>
                        <w:vertAlign w:val="subscript"/>
                      </w:rPr>
                    </w:pPr>
                    <w:r>
                      <w:t>b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7" type="#_x0000_t202" style="position:absolute;left:5852;top:10914;width:500;height:404" stroked="f">
              <v:textbox>
                <w:txbxContent>
                  <w:p w:rsidR="006C6650" w:rsidRPr="00EF0275" w:rsidRDefault="006C6650" w:rsidP="006C6650">
                    <w:pPr>
                      <w:rPr>
                        <w:vertAlign w:val="subscript"/>
                      </w:rPr>
                    </w:pPr>
                    <w:r>
                      <w:t>b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4" type="#_x0000_t202" style="position:absolute;left:7807;top:10106;width:500;height:404" stroked="f">
              <v:textbox>
                <w:txbxContent>
                  <w:p w:rsidR="00EF0275" w:rsidRPr="00EF0275" w:rsidRDefault="00EF0275" w:rsidP="00EF0275">
                    <w:pPr>
                      <w:rPr>
                        <w:vertAlign w:val="subscript"/>
                      </w:rPr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43" type="#_x0000_t202" style="position:absolute;left:2799;top:10336;width:1360;height:390" stroked="f">
              <v:textbox style="mso-next-textbox:#_x0000_s1043">
                <w:txbxContent>
                  <w:p w:rsidR="00363DCC" w:rsidRPr="00363DCC" w:rsidRDefault="00363DCC">
                    <w:pPr>
                      <w:rPr>
                        <w:sz w:val="20"/>
                        <w:szCs w:val="20"/>
                      </w:rPr>
                    </w:pPr>
                    <w:r w:rsidRPr="00363DCC">
                      <w:rPr>
                        <w:sz w:val="20"/>
                        <w:szCs w:val="20"/>
                      </w:rPr>
                      <w:t>(34,5;45</w:t>
                    </w:r>
                    <w:r w:rsidR="00A255F5">
                      <w:rPr>
                        <w:sz w:val="20"/>
                        <w:szCs w:val="20"/>
                      </w:rPr>
                      <w:t xml:space="preserve"> </w:t>
                    </w:r>
                    <w:r w:rsidRPr="00363DCC">
                      <w:rPr>
                        <w:sz w:val="20"/>
                        <w:szCs w:val="20"/>
                      </w:rPr>
                      <w:t>%)</w:t>
                    </w:r>
                  </w:p>
                </w:txbxContent>
              </v:textbox>
            </v:shape>
            <v:shape id="_x0000_s1045" type="#_x0000_t202" style="position:absolute;left:8307;top:9025;width:1429;height:390" stroked="f">
              <v:textbox style="mso-next-textbox:#_x0000_s1045">
                <w:txbxContent>
                  <w:p w:rsidR="00EF0275" w:rsidRPr="00363DCC" w:rsidRDefault="00EF0275" w:rsidP="00EF02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(39,5;77</w:t>
                    </w:r>
                    <w:r w:rsidR="00A255F5">
                      <w:rPr>
                        <w:sz w:val="20"/>
                        <w:szCs w:val="20"/>
                      </w:rPr>
                      <w:t xml:space="preserve"> </w:t>
                    </w:r>
                    <w:r w:rsidRPr="00363DCC">
                      <w:rPr>
                        <w:sz w:val="20"/>
                        <w:szCs w:val="20"/>
                      </w:rPr>
                      <w:t>%)</w:t>
                    </w:r>
                  </w:p>
                </w:txbxContent>
              </v:textbox>
            </v:shape>
            <v:shape id="_x0000_s1046" type="#_x0000_t202" style="position:absolute;left:6029;top:9326;width:1238;height:390" stroked="f">
              <v:textbox style="mso-next-textbox:#_x0000_s1046">
                <w:txbxContent>
                  <w:p w:rsidR="00EF0275" w:rsidRPr="00363DCC" w:rsidRDefault="00EF0275" w:rsidP="00EF02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(q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;75</w:t>
                    </w:r>
                    <w:r w:rsidR="00A255F5">
                      <w:rPr>
                        <w:sz w:val="20"/>
                        <w:szCs w:val="20"/>
                      </w:rPr>
                      <w:t xml:space="preserve"> </w:t>
                    </w:r>
                    <w:r w:rsidRPr="00363DCC">
                      <w:rPr>
                        <w:sz w:val="20"/>
                        <w:szCs w:val="20"/>
                      </w:rPr>
                      <w:t>%)</w:t>
                    </w:r>
                  </w:p>
                </w:txbxContent>
              </v:textbox>
            </v:shape>
          </v:group>
        </w:pict>
      </w:r>
      <w:r>
        <w:rPr>
          <w:b/>
          <w:noProof/>
          <w:color w:val="595959"/>
          <w:lang w:eastAsia="sv-SE"/>
        </w:rPr>
        <w:pict>
          <v:shape id="_x0000_s1040" type="#_x0000_t32" style="position:absolute;margin-left:341pt;margin-top:57.2pt;width:.05pt;height:60.25pt;z-index:251684864" o:connectortype="straight" o:regroupid="3" strokeweight="1.5pt">
            <v:stroke dashstyle="1 1" endcap="round"/>
          </v:shape>
        </w:pict>
      </w:r>
      <w:r w:rsidR="006414D3" w:rsidRPr="00867AED">
        <w:rPr>
          <w:b/>
          <w:noProof/>
          <w:color w:val="595959"/>
          <w:lang w:eastAsia="sv-SE"/>
        </w:rPr>
        <w:pict>
          <v:shape id="_x0000_s1058" type="#_x0000_t38" style="position:absolute;margin-left:341.05pt;margin-top:38.05pt;width:24.8pt;height:15.25pt;rotation:180;flip:y;z-index:251675648" o:connectortype="curved" adj="10800,669954,-380352">
            <v:stroke endarrow="block"/>
          </v:shape>
        </w:pict>
      </w:r>
      <w:r w:rsidR="006414D3" w:rsidRPr="00867AED">
        <w:rPr>
          <w:b/>
          <w:noProof/>
          <w:color w:val="0070C0"/>
          <w:lang w:eastAsia="sv-SE"/>
        </w:rPr>
        <w:pict>
          <v:shape id="_x0000_s1047" type="#_x0000_t32" style="position:absolute;margin-left:264.95pt;margin-top:53.3pt;width:51.1pt;height:8.7pt;z-index:251669504" o:connectortype="straight">
            <v:stroke endarrow="block"/>
          </v:shape>
        </w:pict>
      </w:r>
      <w:r w:rsidR="006414D3" w:rsidRPr="00867AED">
        <w:rPr>
          <w:b/>
          <w:noProof/>
          <w:color w:val="0070C0"/>
          <w:lang w:eastAsia="sv-SE"/>
        </w:rPr>
        <w:pict>
          <v:shape id="_x0000_s1044" type="#_x0000_t38" style="position:absolute;margin-left:124.25pt;margin-top:99.3pt;width:20.2pt;height:16.1pt;rotation:90;flip:x;z-index:251666432" o:connectortype="curved" adj="10800,714007,-210814">
            <v:stroke endarrow="block"/>
          </v:shape>
        </w:pict>
      </w:r>
      <w:r w:rsidR="00867AED" w:rsidRPr="00867AED">
        <w:rPr>
          <w:b/>
          <w:noProof/>
          <w:color w:val="0070C0"/>
          <w:lang w:eastAsia="sv-SE"/>
        </w:rPr>
        <w:drawing>
          <wp:inline distT="0" distB="0" distL="0" distR="0">
            <wp:extent cx="5760720" cy="3094810"/>
            <wp:effectExtent l="0" t="0" r="0" b="0"/>
            <wp:docPr id="1" name="Objekt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67AED">
        <w:rPr>
          <w:color w:val="0070C0"/>
        </w:rPr>
        <w:t xml:space="preserve">I figuren finns två likformiga trianglar.  Eftersom </w:t>
      </w:r>
      <w:r w:rsidR="006C6650">
        <w:rPr>
          <w:color w:val="0070C0"/>
        </w:rPr>
        <w:t>de är likformiga förhåller sig deras katetrar till varandra på samma sätt. Alltså är h</w:t>
      </w:r>
      <w:r w:rsidR="006C6650">
        <w:rPr>
          <w:color w:val="0070C0"/>
          <w:vertAlign w:val="subscript"/>
        </w:rPr>
        <w:t>2</w:t>
      </w:r>
      <w:r w:rsidR="006C6650">
        <w:rPr>
          <w:color w:val="0070C0"/>
        </w:rPr>
        <w:t>/h</w:t>
      </w:r>
      <w:r w:rsidR="006C6650">
        <w:rPr>
          <w:color w:val="0070C0"/>
          <w:vertAlign w:val="subscript"/>
        </w:rPr>
        <w:t>1</w:t>
      </w:r>
      <w:r w:rsidR="006C6650">
        <w:rPr>
          <w:color w:val="0070C0"/>
        </w:rPr>
        <w:t>=b</w:t>
      </w:r>
      <w:r w:rsidR="006C6650">
        <w:rPr>
          <w:color w:val="0070C0"/>
          <w:vertAlign w:val="subscript"/>
        </w:rPr>
        <w:t>2</w:t>
      </w:r>
      <w:r w:rsidR="006C6650">
        <w:rPr>
          <w:color w:val="0070C0"/>
        </w:rPr>
        <w:t>/b</w:t>
      </w:r>
      <w:r w:rsidR="006C6650">
        <w:rPr>
          <w:color w:val="0070C0"/>
          <w:vertAlign w:val="subscript"/>
        </w:rPr>
        <w:t>1</w:t>
      </w:r>
      <w:r w:rsidR="006C6650">
        <w:rPr>
          <w:color w:val="0070C0"/>
        </w:rPr>
        <w:t>. Om vi stoppar in värden på katetrarna får vi</w:t>
      </w:r>
      <w:r w:rsidR="00275B0A">
        <w:rPr>
          <w:color w:val="0070C0"/>
        </w:rPr>
        <w:t>:</w:t>
      </w:r>
    </w:p>
    <w:p w:rsidR="008507A9" w:rsidRPr="008507A9" w:rsidRDefault="00275B0A" w:rsidP="00275B0A">
      <w:pPr>
        <w:rPr>
          <w:color w:val="0070C0"/>
        </w:rPr>
      </w:pPr>
      <m:r>
        <w:rPr>
          <w:rFonts w:ascii="Cambria Math" w:hAnsi="Cambria Math"/>
          <w:color w:val="0070C0"/>
        </w:rPr>
        <w:br/>
      </m:r>
      <m:oMathPara>
        <m:oMath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75-45</m:t>
              </m:r>
            </m:num>
            <m:den>
              <m:r>
                <w:rPr>
                  <w:rFonts w:ascii="Cambria Math" w:hAnsi="Cambria Math"/>
                  <w:color w:val="0070C0"/>
                </w:rPr>
                <m:t>77-45</m:t>
              </m:r>
            </m:den>
          </m:f>
          <m:r>
            <w:rPr>
              <w:rFonts w:ascii="Cambria Math" w:hAnsi="Cambria Math"/>
              <w:color w:val="0070C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70C0"/>
                </w:rPr>
                <m:t>-34,5</m:t>
              </m:r>
            </m:num>
            <m:den>
              <m:r>
                <w:rPr>
                  <w:rFonts w:ascii="Cambria Math" w:hAnsi="Cambria Math"/>
                  <w:color w:val="0070C0"/>
                </w:rPr>
                <m:t>44,5-39,5</m:t>
              </m:r>
            </m:den>
          </m:f>
          <m:r>
            <w:rPr>
              <w:rFonts w:ascii="Cambria Math" w:hAnsi="Cambria Math"/>
              <w:color w:val="0070C0"/>
            </w:rPr>
            <m:t xml:space="preserve">   </m:t>
          </m:r>
          <m:box>
            <m:boxPr>
              <m:opEmu m:val="on"/>
              <m:ctrlPr>
                <w:rPr>
                  <w:rFonts w:ascii="Cambria Math" w:hAnsi="Cambria Math"/>
                  <w:i/>
                  <w:color w:val="0070C0"/>
                </w:rPr>
              </m:ctrlPr>
            </m:boxPr>
            <m:e>
              <m:box>
                <m:boxPr>
                  <m:opEmu m:val="on"/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 xml:space="preserve"> </m:t>
                      </m:r>
                    </m:e>
                  </m:groupChr>
                </m:e>
              </m:box>
            </m:e>
          </m:box>
          <m:r>
            <w:rPr>
              <w:rFonts w:ascii="Cambria Math" w:hAnsi="Cambria Math"/>
              <w:color w:val="0070C0"/>
            </w:rPr>
            <m:t xml:space="preserve">   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30</m:t>
              </m:r>
            </m:num>
            <m:den>
              <m:r>
                <w:rPr>
                  <w:rFonts w:ascii="Cambria Math" w:hAnsi="Cambria Math"/>
                  <w:color w:val="0070C0"/>
                </w:rPr>
                <m:t>32</m:t>
              </m:r>
            </m:den>
          </m:f>
          <m:r>
            <w:rPr>
              <w:rFonts w:ascii="Cambria Math" w:hAnsi="Cambria Math"/>
              <w:color w:val="0070C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70C0"/>
                </w:rPr>
                <m:t>-34,5</m:t>
              </m:r>
            </m:num>
            <m:den>
              <m:r>
                <w:rPr>
                  <w:rFonts w:ascii="Cambria Math" w:hAnsi="Cambria Math"/>
                  <w:color w:val="0070C0"/>
                </w:rPr>
                <m:t>5</m:t>
              </m:r>
            </m:den>
          </m:f>
          <m:box>
            <m:boxPr>
              <m:opEmu m:val="on"/>
              <m:ctrlPr>
                <w:rPr>
                  <w:rFonts w:ascii="Cambria Math" w:hAnsi="Cambria Math"/>
                  <w:i/>
                  <w:color w:val="0070C0"/>
                </w:rPr>
              </m:ctrlPr>
            </m:boxPr>
            <m:e>
              <m:box>
                <m:boxPr>
                  <m:opEmu m:val="on"/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boxPr>
                <m:e>
                  <m:box>
                    <m:boxPr>
                      <m:opEmu m:val="on"/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 xml:space="preserve">   </m:t>
                      </m:r>
                      <m:groupChr>
                        <m:groupChrPr>
                          <m:chr m:val="⇒"/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</m:e>
                      </m:groupChr>
                    </m:e>
                  </m:box>
                </m:e>
              </m:box>
            </m:e>
          </m:box>
          <m:sSub>
            <m:sSubPr>
              <m:ctrlPr>
                <w:rPr>
                  <w:rFonts w:ascii="Cambria Math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/>
                  <w:color w:val="0070C0"/>
                </w:rPr>
                <m:t xml:space="preserve">  q</m:t>
              </m:r>
            </m:e>
            <m:sub>
              <m:r>
                <w:rPr>
                  <w:rFonts w:ascii="Cambria Math" w:hAnsi="Cambria Math"/>
                  <w:color w:val="0070C0"/>
                </w:rPr>
                <m:t>3</m:t>
              </m:r>
            </m:sub>
          </m:sSub>
          <m:r>
            <w:rPr>
              <w:rFonts w:ascii="Cambria Math" w:hAnsi="Cambria Math"/>
              <w:color w:val="0070C0"/>
            </w:rPr>
            <m:t>=34,5+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30</m:t>
              </m:r>
            </m:num>
            <m:den>
              <m:r>
                <w:rPr>
                  <w:rFonts w:ascii="Cambria Math" w:hAnsi="Cambria Math"/>
                  <w:color w:val="0070C0"/>
                </w:rPr>
                <m:t>32</m:t>
              </m:r>
            </m:den>
          </m:f>
          <m:r>
            <w:rPr>
              <w:rFonts w:ascii="Cambria Math" w:hAnsi="Cambria Math"/>
              <w:color w:val="0070C0"/>
            </w:rPr>
            <w:t xml:space="preserve"> ∙5.</w:t>
          </m:r>
        </m:oMath>
      </m:oMathPara>
    </w:p>
    <w:sectPr w:rsidR="008507A9" w:rsidRPr="0085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4A" w:rsidRDefault="00911F4A" w:rsidP="005016C4">
      <w:r>
        <w:separator/>
      </w:r>
    </w:p>
  </w:endnote>
  <w:endnote w:type="continuationSeparator" w:id="1">
    <w:p w:rsidR="00911F4A" w:rsidRDefault="00911F4A" w:rsidP="0050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4A" w:rsidRDefault="00911F4A" w:rsidP="005016C4">
      <w:r>
        <w:separator/>
      </w:r>
    </w:p>
  </w:footnote>
  <w:footnote w:type="continuationSeparator" w:id="1">
    <w:p w:rsidR="00911F4A" w:rsidRDefault="00911F4A" w:rsidP="005016C4">
      <w:r>
        <w:continuationSeparator/>
      </w:r>
    </w:p>
  </w:footnote>
  <w:footnote w:id="2">
    <w:p w:rsidR="005016C4" w:rsidRPr="005016C4" w:rsidRDefault="005016C4">
      <w:pPr>
        <w:pStyle w:val="Fotnotstext"/>
      </w:pPr>
      <w:r>
        <w:rPr>
          <w:rStyle w:val="Fotnotsreferens"/>
        </w:rPr>
        <w:footnoteRef/>
      </w:r>
      <w:r>
        <w:t xml:space="preserve"> Vi vet att 77 % av observationerna är lägre än 39,5. Samtidigt är 45 % av observationerna lägre än 34,5. Alltså </w:t>
      </w:r>
      <w:r w:rsidRPr="005016C4">
        <w:t>borde q</w:t>
      </w:r>
      <w:r w:rsidRPr="005016C4">
        <w:rPr>
          <w:vertAlign w:val="subscript"/>
        </w:rPr>
        <w:t xml:space="preserve">3 </w:t>
      </w:r>
      <w:r w:rsidRPr="005016C4">
        <w:t>ligga ganska nära klassens övre gräns.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2FA"/>
    <w:multiLevelType w:val="hybridMultilevel"/>
    <w:tmpl w:val="ADBA497E"/>
    <w:lvl w:ilvl="0" w:tplc="C298D038">
      <w:start w:val="23"/>
      <w:numFmt w:val="decimal"/>
      <w:lvlText w:val="%1"/>
      <w:lvlJc w:val="left"/>
      <w:pPr>
        <w:tabs>
          <w:tab w:val="num" w:pos="5220"/>
        </w:tabs>
        <w:ind w:left="5220" w:hanging="1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C0F"/>
    <w:rsid w:val="000D3DA2"/>
    <w:rsid w:val="00275B0A"/>
    <w:rsid w:val="00363DCC"/>
    <w:rsid w:val="003B1042"/>
    <w:rsid w:val="003D6FEE"/>
    <w:rsid w:val="005016C4"/>
    <w:rsid w:val="00515B48"/>
    <w:rsid w:val="005C3FA7"/>
    <w:rsid w:val="006414D3"/>
    <w:rsid w:val="00674AD9"/>
    <w:rsid w:val="006C6650"/>
    <w:rsid w:val="00767E84"/>
    <w:rsid w:val="008507A9"/>
    <w:rsid w:val="00867AED"/>
    <w:rsid w:val="00911F4A"/>
    <w:rsid w:val="00961721"/>
    <w:rsid w:val="00966C88"/>
    <w:rsid w:val="009E0FCC"/>
    <w:rsid w:val="00A02CBD"/>
    <w:rsid w:val="00A15222"/>
    <w:rsid w:val="00A255F5"/>
    <w:rsid w:val="00AA5E00"/>
    <w:rsid w:val="00AB0C0F"/>
    <w:rsid w:val="00AC668D"/>
    <w:rsid w:val="00AF5538"/>
    <w:rsid w:val="00BE4F12"/>
    <w:rsid w:val="00E6536E"/>
    <w:rsid w:val="00E802BA"/>
    <w:rsid w:val="00EF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  <o:rules v:ext="edit">
        <o:r id="V:Rule6" type="connector" idref="#_x0000_s1032"/>
        <o:r id="V:Rule8" type="connector" idref="#_x0000_s1033"/>
        <o:r id="V:Rule10" type="connector" idref="#_x0000_s1035"/>
        <o:r id="V:Rule12" type="connector" idref="#_x0000_s1037"/>
        <o:r id="V:Rule14" type="connector" idref="#_x0000_s1038"/>
        <o:r id="V:Rule18" type="connector" idref="#_x0000_s1040"/>
        <o:r id="V:Rule24" type="connector" idref="#_x0000_s1044"/>
        <o:r id="V:Rule26" type="connector" idref="#_x0000_s1047"/>
        <o:r id="V:Rule28" type="connector" idref="#_x0000_s1048"/>
        <o:r id="V:Rule30" type="connector" idref="#_x0000_s1049"/>
        <o:r id="V:Rule32" type="connector" idref="#_x0000_s1050"/>
        <o:r id="V:Rule34" type="connector" idref="#_x0000_s1051"/>
        <o:r id="V:Rule36" type="connector" idref="#_x0000_s1052"/>
        <o:r id="V:Rule38" type="connector" idref="#_x0000_s1058"/>
      </o:rules>
      <o:regrouptable v:ext="edit">
        <o:entry new="1" old="0"/>
        <o:entry new="2" old="1"/>
        <o:entry new="3" old="0"/>
        <o:entry new="4" old="3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uiPriority w:val="59"/>
    <w:rsid w:val="00E80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016C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016C4"/>
    <w:rPr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5016C4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2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2CBD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A02C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kalkylblad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kalkylblad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autoTitleDeleted val="1"/>
    <c:plotArea>
      <c:layout>
        <c:manualLayout>
          <c:layoutTarget val="inner"/>
          <c:xMode val="edge"/>
          <c:yMode val="edge"/>
          <c:x val="0.13858267716535433"/>
          <c:y val="8.2066869300911865E-2"/>
          <c:w val="0.82519685039370105"/>
          <c:h val="0.65349544072948373"/>
        </c:manualLayout>
      </c:layout>
      <c:scatterChart>
        <c:scatterStyle val="lineMarker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Sheet1!$B$1:$G$1</c:f>
              <c:numCache>
                <c:formatCode>General</c:formatCode>
                <c:ptCount val="6"/>
                <c:pt idx="0">
                  <c:v>24.5</c:v>
                </c:pt>
                <c:pt idx="1">
                  <c:v>29.5</c:v>
                </c:pt>
                <c:pt idx="2">
                  <c:v>34.5</c:v>
                </c:pt>
                <c:pt idx="3">
                  <c:v>39.5</c:v>
                </c:pt>
                <c:pt idx="4">
                  <c:v>44.5</c:v>
                </c:pt>
                <c:pt idx="5">
                  <c:v>49.5</c:v>
                </c:pt>
              </c:numCache>
            </c:numRef>
          </c:xVal>
          <c:yVal>
            <c:numRef>
              <c:f>Sheet1!$B$2:$G$2</c:f>
              <c:numCache>
                <c:formatCode>General</c:formatCode>
                <c:ptCount val="6"/>
                <c:pt idx="0">
                  <c:v>3</c:v>
                </c:pt>
                <c:pt idx="1">
                  <c:v>16</c:v>
                </c:pt>
                <c:pt idx="2">
                  <c:v>45</c:v>
                </c:pt>
                <c:pt idx="3">
                  <c:v>77</c:v>
                </c:pt>
                <c:pt idx="4">
                  <c:v>93</c:v>
                </c:pt>
                <c:pt idx="5">
                  <c:v>100</c:v>
                </c:pt>
              </c:numCache>
            </c:numRef>
          </c:yVal>
        </c:ser>
        <c:axId val="113697152"/>
        <c:axId val="113699456"/>
      </c:scatterChart>
      <c:valAx>
        <c:axId val="113697152"/>
        <c:scaling>
          <c:orientation val="minMax"/>
          <c:max val="49"/>
          <c:min val="22"/>
        </c:scaling>
        <c:axPos val="b"/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v-SE"/>
                  <a:t>Ålder</a:t>
                </a:r>
              </a:p>
            </c:rich>
          </c:tx>
          <c:layout>
            <c:manualLayout>
              <c:xMode val="edge"/>
              <c:yMode val="edge"/>
              <c:x val="0.51968503937007893"/>
              <c:y val="0.8784194528875382"/>
            </c:manualLayout>
          </c:layout>
          <c:spPr>
            <a:noFill/>
            <a:ln w="25345">
              <a:noFill/>
            </a:ln>
          </c:spPr>
        </c:title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113699456"/>
        <c:crosses val="autoZero"/>
        <c:crossBetween val="midCat"/>
      </c:valAx>
      <c:valAx>
        <c:axId val="113699456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v-SE"/>
                  <a:t>Kumulerad %</a:t>
                </a:r>
              </a:p>
            </c:rich>
          </c:tx>
          <c:layout>
            <c:manualLayout>
              <c:xMode val="edge"/>
              <c:yMode val="edge"/>
              <c:x val="1.7322834645669302E-2"/>
              <c:y val="0.26139817629179335"/>
            </c:manualLayout>
          </c:layout>
          <c:spPr>
            <a:noFill/>
            <a:ln w="25345">
              <a:noFill/>
            </a:ln>
          </c:spPr>
        </c:title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113697152"/>
        <c:crosses val="autoZero"/>
        <c:crossBetween val="midCat"/>
      </c:valAx>
      <c:spPr>
        <a:noFill/>
        <a:ln w="2534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4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autoTitleDeleted val="1"/>
    <c:plotArea>
      <c:layout>
        <c:manualLayout>
          <c:layoutTarget val="inner"/>
          <c:xMode val="edge"/>
          <c:yMode val="edge"/>
          <c:x val="0.10119047619047618"/>
          <c:y val="0.10144927536231886"/>
          <c:w val="0.86904761904761951"/>
          <c:h val="0.70531400966183577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Sheet1!$B$1:$C$1</c:f>
              <c:numCache>
                <c:formatCode>General</c:formatCode>
                <c:ptCount val="2"/>
                <c:pt idx="0">
                  <c:v>34.5</c:v>
                </c:pt>
                <c:pt idx="1">
                  <c:v>39.5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45</c:v>
                </c:pt>
                <c:pt idx="1">
                  <c:v>77</c:v>
                </c:pt>
              </c:numCache>
            </c:numRef>
          </c:val>
        </c:ser>
        <c:marker val="1"/>
        <c:axId val="113677824"/>
        <c:axId val="113679744"/>
      </c:lineChart>
      <c:catAx>
        <c:axId val="113677824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113679744"/>
        <c:crosses val="autoZero"/>
        <c:auto val="1"/>
        <c:lblAlgn val="ctr"/>
        <c:lblOffset val="100"/>
        <c:tickLblSkip val="1"/>
        <c:tickMarkSkip val="1"/>
      </c:catAx>
      <c:valAx>
        <c:axId val="113679744"/>
        <c:scaling>
          <c:orientation val="minMax"/>
        </c:scaling>
        <c:axPos val="l"/>
        <c:majorGridlines>
          <c:spPr>
            <a:ln w="12679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113677824"/>
        <c:crosses val="autoZero"/>
        <c:crossBetween val="between"/>
      </c:valAx>
      <c:spPr>
        <a:noFill/>
        <a:ln w="25357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5DDF-8818-49EF-AC3C-3799A60B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Kvartiler</vt:lpstr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Kvartiler</dc:title>
  <dc:subject/>
  <dc:creator>Chalmers Lindholmen</dc:creator>
  <cp:keywords/>
  <dc:description/>
  <cp:lastModifiedBy>Jenny</cp:lastModifiedBy>
  <cp:revision>5</cp:revision>
  <cp:lastPrinted>2006-01-23T10:18:00Z</cp:lastPrinted>
  <dcterms:created xsi:type="dcterms:W3CDTF">2009-01-22T13:01:00Z</dcterms:created>
  <dcterms:modified xsi:type="dcterms:W3CDTF">2009-01-22T13:55:00Z</dcterms:modified>
</cp:coreProperties>
</file>